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E" w:rsidRPr="003836CE" w:rsidRDefault="003836CE" w:rsidP="003836CE">
      <w:pPr>
        <w:rPr>
          <w:rFonts w:ascii="Times New Roman" w:hAnsi="Times New Roman" w:cs="Times New Roman"/>
        </w:rPr>
      </w:pPr>
    </w:p>
    <w:p w:rsidR="003836CE" w:rsidRPr="008E7D6A" w:rsidRDefault="003836CE" w:rsidP="008E7D6A">
      <w:pPr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3836CE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3836CE" w:rsidRPr="008E7D6A" w:rsidRDefault="003836CE" w:rsidP="008E7D6A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836CE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3836CE" w:rsidRPr="003836CE" w:rsidRDefault="004A6509" w:rsidP="004A6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01.07.2011 г.</w:t>
      </w:r>
      <w:r w:rsidR="003836CE" w:rsidRPr="003836CE">
        <w:rPr>
          <w:rFonts w:ascii="Times New Roman" w:hAnsi="Times New Roman" w:cs="Times New Roman"/>
          <w:sz w:val="24"/>
          <w:szCs w:val="24"/>
        </w:rPr>
        <w:tab/>
        <w:t xml:space="preserve">                               №  </w:t>
      </w:r>
      <w:r>
        <w:rPr>
          <w:rFonts w:ascii="Times New Roman" w:hAnsi="Times New Roman" w:cs="Times New Roman"/>
          <w:sz w:val="24"/>
          <w:szCs w:val="24"/>
        </w:rPr>
        <w:t>1075</w:t>
      </w:r>
      <w:r w:rsidR="003836CE" w:rsidRPr="003836CE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3836CE" w:rsidRPr="003836CE">
        <w:rPr>
          <w:rFonts w:ascii="Times New Roman" w:hAnsi="Times New Roman" w:cs="Times New Roman"/>
          <w:sz w:val="24"/>
          <w:szCs w:val="24"/>
        </w:rPr>
        <w:tab/>
        <w:t>г. Батайск</w:t>
      </w:r>
    </w:p>
    <w:p w:rsidR="003836CE" w:rsidRPr="003836CE" w:rsidRDefault="003836CE" w:rsidP="003836CE">
      <w:pPr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8E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36CE" w:rsidRPr="003836CE" w:rsidRDefault="003836CE" w:rsidP="008E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 муниципальную долгосрочную целевую программу </w:t>
      </w:r>
    </w:p>
    <w:p w:rsidR="003836CE" w:rsidRPr="003836CE" w:rsidRDefault="003836CE" w:rsidP="008E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«Обеспечение жильем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6CE" w:rsidRPr="003836CE" w:rsidRDefault="003836CE" w:rsidP="008E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категорий граждан  в городе Батайске </w:t>
      </w:r>
    </w:p>
    <w:p w:rsidR="003836CE" w:rsidRPr="003836CE" w:rsidRDefault="003836CE" w:rsidP="008E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на 2011- 2013 годы»,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6CE" w:rsidRPr="003836CE" w:rsidRDefault="003836CE" w:rsidP="008E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Постановлением Администрации города Батайска от .03.11.2010 г. № 2299</w:t>
      </w:r>
    </w:p>
    <w:p w:rsidR="003836CE" w:rsidRPr="003836CE" w:rsidRDefault="003836CE" w:rsidP="003836CE">
      <w:pPr>
        <w:ind w:right="-24" w:firstLine="567"/>
        <w:jc w:val="both"/>
        <w:rPr>
          <w:rFonts w:ascii="Times New Roman" w:hAnsi="Times New Roman" w:cs="Times New Roman"/>
          <w:sz w:val="24"/>
        </w:rPr>
      </w:pPr>
    </w:p>
    <w:p w:rsidR="003836CE" w:rsidRPr="003836CE" w:rsidRDefault="003836CE" w:rsidP="003836CE">
      <w:pPr>
        <w:tabs>
          <w:tab w:val="left" w:pos="2410"/>
        </w:tabs>
        <w:spacing w:before="12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6CE">
        <w:rPr>
          <w:rFonts w:ascii="Times New Roman" w:hAnsi="Times New Roman" w:cs="Times New Roman"/>
          <w:sz w:val="24"/>
          <w:szCs w:val="24"/>
        </w:rPr>
        <w:t xml:space="preserve">В соответствии с подпрограммой «Обеспечение жильем молодых семей в Ростовской области» Областной долгосрочной  целевой программы «Обеспечение жильем  отдельных категорий  граждан и стимулирование развития  жилищного строительства на 2010-2013 годы», утвержденной  Постановлением  Администрации Ростовской области от 13 ноября </w:t>
      </w:r>
      <w:smartTag w:uri="urn:schemas-microsoft-com:office:smarttags" w:element="metricconverter">
        <w:smartTagPr>
          <w:attr w:name="ProductID" w:val="2009 г"/>
        </w:smartTagPr>
        <w:r w:rsidRPr="003836C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836CE">
        <w:rPr>
          <w:rFonts w:ascii="Times New Roman" w:hAnsi="Times New Roman" w:cs="Times New Roman"/>
          <w:sz w:val="24"/>
          <w:szCs w:val="24"/>
        </w:rPr>
        <w:t>. № 600 «Об утверждении Областной долгосрочной целевой программы «Обеспечение жильём отдельных категорий граждан и стимулирование развития жилищного строительства на 2010 – 2013 годы» и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Ростовской области от 12 мая 2011 года № 257 « О внесении изменений в постановление Администрации Ростовской области от 13.11.2009 № 600», на основании Решения Коллегии Администрации города Батайска Ростовской области от </w:t>
      </w:r>
      <w:proofErr w:type="spellStart"/>
      <w:proofErr w:type="gramStart"/>
      <w:r w:rsidRPr="003836CE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24 июня 2011 года № 73,</w:t>
      </w:r>
    </w:p>
    <w:p w:rsidR="003836CE" w:rsidRPr="003836CE" w:rsidRDefault="003836CE" w:rsidP="003836CE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 w:cs="Times New Roman"/>
          <w:b/>
          <w:sz w:val="24"/>
        </w:rPr>
      </w:pPr>
    </w:p>
    <w:p w:rsidR="003836CE" w:rsidRPr="003836CE" w:rsidRDefault="003836CE" w:rsidP="003836CE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 w:cs="Times New Roman"/>
          <w:b/>
          <w:sz w:val="24"/>
        </w:rPr>
      </w:pPr>
      <w:r w:rsidRPr="003836CE">
        <w:rPr>
          <w:rFonts w:ascii="Times New Roman" w:hAnsi="Times New Roman" w:cs="Times New Roman"/>
          <w:b/>
          <w:sz w:val="24"/>
        </w:rPr>
        <w:t>ПОСТАНОВЛЯЮ:</w:t>
      </w:r>
    </w:p>
    <w:p w:rsidR="003836CE" w:rsidRPr="003836CE" w:rsidRDefault="003836CE" w:rsidP="003836CE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 w:cs="Times New Roman"/>
          <w:b/>
          <w:sz w:val="24"/>
        </w:rPr>
      </w:pPr>
    </w:p>
    <w:p w:rsidR="003836CE" w:rsidRPr="003836CE" w:rsidRDefault="003836CE" w:rsidP="003836CE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Внести изменения в муниципальную  долгосрочную целевую программу «Обеспечение жильем отдельных категорий граждан в городе Батайске на 2011-2013 годы», утвержденную постановлением Администрации города Батайска от 03.11.2010 г. № 2299: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1.1.  В паспорте муниципальной долгосрочной целевой программы «Обеспечение жильём отдельных категорий граждан в городе Батайске на 2011-2013 годы»»  пункт исполнители муниципальной долгосрочной целевой программы изложить в следующей редакции:  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>«Администрация  города Батайска;</w:t>
      </w:r>
      <w:r w:rsidRPr="003836CE">
        <w:rPr>
          <w:rFonts w:ascii="Times New Roman" w:hAnsi="Times New Roman" w:cs="Times New Roman"/>
          <w:sz w:val="24"/>
          <w:szCs w:val="24"/>
        </w:rPr>
        <w:t xml:space="preserve">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Соисполнители:</w:t>
      </w:r>
    </w:p>
    <w:p w:rsidR="003836CE" w:rsidRPr="003836CE" w:rsidRDefault="003836CE" w:rsidP="003836CE">
      <w:pPr>
        <w:ind w:firstLine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- подпрограмма «Обеспечение жильем молодых семей в городе Батайске на 2011-2013 годы» - отдел по делам молодежи Администрации города Батайска, МУ «Управление жилищно-коммунального хозяйства Администрации города Батайска»; 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>- подпрограмма «Обеспечение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 в городе Батайске на 2011-2013 годы» - Управление образования города Батайска; МУ «Управление жилищно-коммунального хозяйства Администрации города Батайска».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1.2. </w:t>
      </w:r>
      <w:r w:rsidRPr="003836CE">
        <w:rPr>
          <w:rFonts w:ascii="Times New Roman" w:hAnsi="Times New Roman" w:cs="Times New Roman"/>
          <w:sz w:val="24"/>
          <w:szCs w:val="24"/>
        </w:rPr>
        <w:t>В паспорте муниципальной долгосрочной целевой программы «Обеспечение жильём отдельных категорий граждан в городе Батайске на 2011-2013 годы»»  абзац в пункте объемы и источники финансирования муниципальной долгосрочной целевой программы суммы средств областного и местного бюджета изложить в следующей редакции: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«В 2011 году -  всего: 37182,5; в том числе: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- </w:t>
      </w:r>
      <w:r w:rsidRPr="003836CE">
        <w:rPr>
          <w:rFonts w:ascii="Times New Roman" w:hAnsi="Times New Roman" w:cs="Times New Roman"/>
          <w:bCs/>
          <w:sz w:val="24"/>
          <w:szCs w:val="24"/>
        </w:rPr>
        <w:t xml:space="preserve">«Обеспечение жильем молодых семей в  городе Батайске на 2011-2013 годы» -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6100,9 тыс. руб.        (из них: 5300,9 -областной бюджет, 800,0 – местный бюджет);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>в 2012 году – 902,4 тыс. руб.;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>в 2013 году – 941, 2 тыс.руб.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  <w:r w:rsidRPr="003836CE">
        <w:rPr>
          <w:rFonts w:ascii="Times New Roman" w:hAnsi="Times New Roman" w:cs="Times New Roman"/>
          <w:sz w:val="24"/>
          <w:szCs w:val="24"/>
        </w:rPr>
        <w:t>«Обеспечение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 в городе Батайске на 2011-2013 годы» - 1095,6 тыс. руб. (областной бюджет);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>в 2012 году – 14 071,2 тыс. руб.;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>в 2013 году - 14 071,2 тыс. руб.»</w:t>
      </w: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</w:p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1.3. В 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  <w:lang w:val="en-US"/>
        </w:rPr>
        <w:t>III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«Система программных мероприятий», в подразделе «Сроки реализации и механизм Программы» абзац «Социальная выплата» изложить в следующей редакции:</w:t>
      </w:r>
    </w:p>
    <w:p w:rsidR="003836CE" w:rsidRPr="003836CE" w:rsidRDefault="003836CE" w:rsidP="00383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    </w:t>
      </w:r>
      <w:r w:rsidRPr="003836CE">
        <w:rPr>
          <w:rFonts w:ascii="Times New Roman" w:hAnsi="Times New Roman" w:cs="Times New Roman"/>
          <w:sz w:val="24"/>
          <w:szCs w:val="24"/>
        </w:rPr>
        <w:t xml:space="preserve"> «Социальные выплаты используются: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 (далее - договор на жилое помещение);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б) для оплаты цены договора строительного подряда на строительство индивидуального жилого дома;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в)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</w:t>
      </w:r>
      <w:r w:rsidRPr="003836CE">
        <w:rPr>
          <w:rFonts w:ascii="Times New Roman" w:hAnsi="Times New Roman" w:cs="Times New Roman"/>
          <w:sz w:val="24"/>
          <w:szCs w:val="24"/>
        </w:rPr>
        <w:lastRenderedPageBreak/>
        <w:t xml:space="preserve">жилищно-строительного, жилищного накопительного кооператива (далее - кооператив), после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которого жилое помещение переходит в собственность этой молодой семьи;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д) 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организации».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1.4.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В 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  <w:lang w:val="en-US"/>
        </w:rPr>
        <w:t>III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«Система программных мероприятий», п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одраздел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Pr="003836CE">
        <w:rPr>
          <w:rFonts w:ascii="Times New Roman" w:hAnsi="Times New Roman" w:cs="Times New Roman"/>
          <w:sz w:val="24"/>
          <w:szCs w:val="24"/>
        </w:rPr>
        <w:t>Размер социальной выплаты» изложить в следующей редакции: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- 35% процентов расчетной (средней) стоимости жилья, определяемой в соответствии с требованиями Программы, – для молодых семей, не имеющих детей*;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- 40% процентов расчетной (средней) стоимости жилья, определяемой в соответствии с требованиями Программы, – для молодых семей, имеющих</w:t>
      </w:r>
      <w:r w:rsidRPr="003836CE">
        <w:rPr>
          <w:rFonts w:ascii="Times New Roman" w:hAnsi="Times New Roman" w:cs="Times New Roman"/>
          <w:sz w:val="24"/>
          <w:szCs w:val="24"/>
        </w:rPr>
        <w:br/>
        <w:t>1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36CE">
        <w:rPr>
          <w:rFonts w:ascii="Times New Roman" w:hAnsi="Times New Roman" w:cs="Times New Roman"/>
          <w:sz w:val="24"/>
          <w:szCs w:val="24"/>
        </w:rPr>
        <w:t>ребенка и более, а также для неполных молодых семей, состоящих</w:t>
      </w:r>
      <w:r w:rsidRPr="003836CE">
        <w:rPr>
          <w:rFonts w:ascii="Times New Roman" w:hAnsi="Times New Roman" w:cs="Times New Roman"/>
          <w:sz w:val="24"/>
          <w:szCs w:val="24"/>
        </w:rPr>
        <w:br/>
        <w:t>из 1 молодого родителя и 1 ребенка и более (далее – неполная молодая семья)*.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* С учетом средств, направляемых из местного бюджета для софинансирования мероприятий Программы, в размере 5 % 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Общая площадь приобретаемого жилого помещения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жилья. Приобретаемое жилое помещение (создаваемый объект индивидуального жилищного строительства) оформляется в общую собственность всех членов молодой семьи, указанных в свидетельстве.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В случае использования средств социальной выплаты на уплату первоначального взноса по ипотечному жилищному кредиту допускается оформление приобретенного жилого помещения в собственность одного из супругов или обоих супругов. При этом молодая семья заключает с органами местного самоуправления соглашение, в котором обязуется переоформить приобретенное с помощью социальной выплаты жилое помещение в собственность всех членов </w:t>
      </w:r>
      <w:r w:rsidRPr="003836CE">
        <w:rPr>
          <w:rFonts w:ascii="Times New Roman" w:hAnsi="Times New Roman" w:cs="Times New Roman"/>
          <w:sz w:val="24"/>
          <w:szCs w:val="24"/>
        </w:rPr>
        <w:lastRenderedPageBreak/>
        <w:t>семьи, указанных в свидетельстве, в течение 6 месяцев после снятия обременения с жилого помещения.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Молодым семьям предоставляется дополнительная социальная выплата за счет средств областного бюджета в размере 5 процентов расчетной средней стоимости жилья при рождении (усыновлении) одного ребенка. 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Администрация города Батайска </w:t>
      </w:r>
      <w:r w:rsidRPr="003836CE">
        <w:rPr>
          <w:rFonts w:ascii="Times New Roman" w:hAnsi="Times New Roman" w:cs="Times New Roman"/>
          <w:spacing w:val="-6"/>
          <w:sz w:val="24"/>
          <w:szCs w:val="24"/>
        </w:rPr>
        <w:t>определяют объемы ежегодного финансирования подпрограммы и предусматривают</w:t>
      </w:r>
      <w:r w:rsidRPr="003836CE">
        <w:rPr>
          <w:rFonts w:ascii="Times New Roman" w:hAnsi="Times New Roman" w:cs="Times New Roman"/>
          <w:sz w:val="24"/>
          <w:szCs w:val="24"/>
        </w:rPr>
        <w:t xml:space="preserve"> эти объемы в бюджете города.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Право молодой семьи на получение социальной выплаты удостоверяется именным документом – свидетельством (далее – свидетельство), которое не является ценной бумагой.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Срок действия свидетельства составляет не более 9 месяцев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, указанной в свидетельстве. Молодая семья в течение 2 месяцев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свидетельства сдает его в банк.</w:t>
      </w:r>
    </w:p>
    <w:p w:rsidR="003836CE" w:rsidRPr="003836CE" w:rsidRDefault="003836CE" w:rsidP="003836CE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6CE">
        <w:rPr>
          <w:rFonts w:ascii="Times New Roman" w:hAnsi="Times New Roman" w:cs="Times New Roman"/>
          <w:sz w:val="24"/>
          <w:szCs w:val="24"/>
        </w:rPr>
        <w:t>Социальная выплата молодым семьям предоставляется в соответствии с постановлением  Правительства РФ от 17 декабря 2010 года № 1050 «О федеральной целевой программе «Жилище» на 2011-2015 годы в рамках реализации подпрограммы «Обеспечение жильем молодых семей» Федеральной целевой программы «Жилище» на 2011 – 2015 годы», постановлением Администрации Ростовской  области  от 16.05.2011 № 274 «О порядке реализации подпрограммы «Обеспечение жильем молодых семей» федеральной целевой программы «Жилище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на 2011 – 2015 годы на территории Ростовской области», постановлением Администрации  Ростовской области от 13.11.2009 г. № 600 «Об утверждении  Областной долгосрочной  целевой программы «Обеспечение  жильем отдельных категорий  граждан и  стимулирование  развития жилищного строительства на 2010-2013 годы» с учетом внесенных изменений постановлением Администрации Ростовской области от 12 июня 2011 года № 257 «О внесении изменений в постановление  Администрации  Ростовской области от 13.11.2009 г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>. № 600.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Отбор банков для участия в реализации подпрограммы осуществляется министерством территориального развития, архитектуры и градостроительства области. Условия отбора </w:t>
      </w:r>
      <w:r w:rsidRPr="003836CE">
        <w:rPr>
          <w:rFonts w:ascii="Times New Roman" w:hAnsi="Times New Roman" w:cs="Times New Roman"/>
          <w:spacing w:val="-2"/>
          <w:sz w:val="24"/>
          <w:szCs w:val="24"/>
        </w:rPr>
        <w:t>банков определяются государственным заказчиком подпрограммы</w:t>
      </w:r>
      <w:r w:rsidRPr="003836CE">
        <w:rPr>
          <w:rFonts w:ascii="Times New Roman" w:hAnsi="Times New Roman" w:cs="Times New Roman"/>
          <w:sz w:val="24"/>
          <w:szCs w:val="24"/>
        </w:rPr>
        <w:t>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если владелец свидетельства по какой-либо причине не сдал свидетельство в банк в установленном порядке и не смог решить свою жилищную проблему (приобрести жилое помещение в собственность, заключить договор кредитования) в установленный подпрограммой срок действия свидетельства, а также не воспользовался правом на получение выделенной ему социальной выплаты, он </w:t>
      </w:r>
      <w:r w:rsidRPr="003836CE">
        <w:rPr>
          <w:rFonts w:ascii="Times New Roman" w:hAnsi="Times New Roman" w:cs="Times New Roman"/>
          <w:spacing w:val="-2"/>
          <w:sz w:val="24"/>
          <w:szCs w:val="24"/>
        </w:rPr>
        <w:t>сдает свидетельство в орган местного самоуправления, выдавший свидетельство,</w:t>
      </w:r>
      <w:r w:rsidRPr="003836CE">
        <w:rPr>
          <w:rFonts w:ascii="Times New Roman" w:hAnsi="Times New Roman" w:cs="Times New Roman"/>
          <w:sz w:val="24"/>
          <w:szCs w:val="24"/>
        </w:rPr>
        <w:t xml:space="preserve"> и сохраняет право на улучшение жилищных условий, в том числе на дальнейшее участие в подпрограмме на условиях, определяемых в соответствии с порядком.</w:t>
      </w:r>
    </w:p>
    <w:p w:rsidR="003836CE" w:rsidRPr="003836CE" w:rsidRDefault="003836CE" w:rsidP="003836CE">
      <w:pPr>
        <w:tabs>
          <w:tab w:val="left" w:pos="1206"/>
        </w:tabs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Муниципальные заказчики – </w:t>
      </w:r>
      <w:r w:rsidRPr="003836CE">
        <w:rPr>
          <w:rFonts w:ascii="Times New Roman" w:hAnsi="Times New Roman" w:cs="Times New Roman"/>
          <w:spacing w:val="-2"/>
          <w:sz w:val="24"/>
          <w:szCs w:val="24"/>
        </w:rPr>
        <w:t>Администрация города Батайска.</w:t>
      </w:r>
    </w:p>
    <w:p w:rsidR="003836CE" w:rsidRPr="003836CE" w:rsidRDefault="003836CE" w:rsidP="003836CE">
      <w:pPr>
        <w:tabs>
          <w:tab w:val="left" w:pos="12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pacing w:val="-2"/>
          <w:sz w:val="24"/>
          <w:szCs w:val="24"/>
        </w:rPr>
        <w:t xml:space="preserve">Исполнители и соисполнители подпрограммы: Отдел по делам молодежи Администрации города Батайска, 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МУ «Управление жилищно-коммунального хозяйства Администрации города Батайска»</w:t>
      </w:r>
      <w:r w:rsidRPr="003836CE">
        <w:rPr>
          <w:rFonts w:ascii="Times New Roman" w:hAnsi="Times New Roman" w:cs="Times New Roman"/>
          <w:sz w:val="24"/>
          <w:szCs w:val="24"/>
        </w:rPr>
        <w:t>.</w:t>
      </w:r>
    </w:p>
    <w:p w:rsidR="003836CE" w:rsidRPr="003836CE" w:rsidRDefault="003836CE" w:rsidP="003836CE">
      <w:pPr>
        <w:tabs>
          <w:tab w:val="left" w:pos="1206"/>
        </w:tabs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pacing w:val="-2"/>
          <w:sz w:val="24"/>
          <w:szCs w:val="24"/>
        </w:rPr>
        <w:t xml:space="preserve">1.5.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В 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  <w:lang w:val="en-US"/>
        </w:rPr>
        <w:t>III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«Система программных мероприятий», в п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одразделе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Обоснование потребностей в необходимых ресурсах и ресурсное обеспечение Программы» предложение: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lastRenderedPageBreak/>
        <w:t>«Средства федерального бюджета, предусмотренные на реализацию подпрограммы, в установленном порядке перечисляются в виде субсидий в областной бюджет в случае прохождения Ростовской областью конкурсного отбора (в рамках реализации подпрограммы «Обеспечение жильем молодых семей» федеральной целевой программы «Жилище» на 2002 – 2010 годы) в пределах утвержденных лимитов бюджетных обязательств и объемов финансирования расходов федерального бюджета на основании соглашения между государственным заказчиком подпрограммы «Обеспечение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жильем молодых семей» и Администрацией Ростовской области, читать в следующей редакции: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«Средства федерального бюджета, предусмотренные на реализацию подпрограммы, в установленном порядке перечисляются в виде субсидий в областной бюджет в случае прохождения Ростовской областью конкурсного отбора (в рамках реализации подпрограммы «Обеспечение жильем молодых семей» федеральной целевой программы «Жилище» на 2011 – 2015 годы) в пределах утвержденных лимитов бюджетных обязательств и объемов финансирования расходов федерального бюджета на основании соглашения между государственным заказчиком подпрограммы «Обеспечение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жильем молодых семей» и Администрацией Ростовской области.</w:t>
      </w: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tabs>
          <w:tab w:val="left" w:pos="1206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1.6. В 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  <w:lang w:val="en-US"/>
        </w:rPr>
        <w:t>III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«Система программных мероприятий», в п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одразделе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Обоснование потребностей в необходимых ресурсах и ресурсное обеспечение Программы» таблицу «Объёмы финансирования Программы по источникам и годам» изложить в следующей редакции: </w:t>
      </w:r>
    </w:p>
    <w:p w:rsidR="003836CE" w:rsidRPr="003836CE" w:rsidRDefault="003836CE" w:rsidP="003836CE">
      <w:pPr>
        <w:tabs>
          <w:tab w:val="left" w:pos="1206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3"/>
        <w:gridCol w:w="2023"/>
        <w:gridCol w:w="1732"/>
        <w:gridCol w:w="1701"/>
        <w:gridCol w:w="142"/>
        <w:gridCol w:w="1276"/>
        <w:gridCol w:w="1219"/>
      </w:tblGrid>
      <w:tr w:rsidR="003836CE" w:rsidRPr="003836CE" w:rsidTr="00350148">
        <w:trPr>
          <w:trHeight w:val="480"/>
        </w:trPr>
        <w:tc>
          <w:tcPr>
            <w:tcW w:w="2023" w:type="dxa"/>
            <w:vMerge w:val="restart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023" w:type="dxa"/>
            <w:vMerge w:val="restart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1732" w:type="dxa"/>
            <w:vMerge w:val="restart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2011 – 2013 г.</w:t>
            </w:r>
          </w:p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4338" w:type="dxa"/>
            <w:gridSpan w:val="4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3836CE" w:rsidRPr="003836CE" w:rsidTr="00350148">
        <w:trPr>
          <w:trHeight w:val="480"/>
        </w:trPr>
        <w:tc>
          <w:tcPr>
            <w:tcW w:w="2023" w:type="dxa"/>
            <w:vMerge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418" w:type="dxa"/>
            <w:gridSpan w:val="2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19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3836CE" w:rsidRPr="003836CE" w:rsidTr="00350148">
        <w:trPr>
          <w:trHeight w:val="1253"/>
        </w:trPr>
        <w:tc>
          <w:tcPr>
            <w:tcW w:w="2023" w:type="dxa"/>
            <w:vMerge w:val="restart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 в городе Батайске  на 2011-2013 годы»</w:t>
            </w:r>
          </w:p>
        </w:tc>
        <w:tc>
          <w:tcPr>
            <w:tcW w:w="2023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70" w:type="dxa"/>
            <w:gridSpan w:val="5"/>
          </w:tcPr>
          <w:p w:rsidR="003836CE" w:rsidRPr="003836CE" w:rsidRDefault="003836CE" w:rsidP="00350148">
            <w:pPr>
              <w:spacing w:line="228" w:lineRule="auto"/>
              <w:ind w:right="-10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объем средств будет уточнен по результатам участия Ростовской области в конкурсном отборе</w:t>
            </w:r>
          </w:p>
          <w:p w:rsidR="003836CE" w:rsidRPr="003836CE" w:rsidRDefault="003836CE" w:rsidP="00350148">
            <w:pPr>
              <w:spacing w:line="228" w:lineRule="auto"/>
              <w:ind w:right="-10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по реализации подпрограммы «Обеспечение жильем молодых семей» федеральной целевой программы «Жилище» на 2011 – 2015 годы</w:t>
            </w:r>
          </w:p>
        </w:tc>
      </w:tr>
      <w:tr w:rsidR="003836CE" w:rsidRPr="003836CE" w:rsidTr="00350148">
        <w:trPr>
          <w:trHeight w:val="530"/>
        </w:trPr>
        <w:tc>
          <w:tcPr>
            <w:tcW w:w="2023" w:type="dxa"/>
            <w:vMerge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2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5300,9</w:t>
            </w:r>
          </w:p>
        </w:tc>
        <w:tc>
          <w:tcPr>
            <w:tcW w:w="1843" w:type="dxa"/>
            <w:gridSpan w:val="2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5300,9</w:t>
            </w:r>
          </w:p>
        </w:tc>
        <w:tc>
          <w:tcPr>
            <w:tcW w:w="1276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9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836CE" w:rsidRPr="003836CE" w:rsidTr="00350148">
        <w:trPr>
          <w:trHeight w:val="603"/>
        </w:trPr>
        <w:tc>
          <w:tcPr>
            <w:tcW w:w="2023" w:type="dxa"/>
            <w:vMerge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2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right="-101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3" w:type="dxa"/>
            <w:gridSpan w:val="2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9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3836CE" w:rsidRPr="003836CE" w:rsidTr="00350148">
        <w:trPr>
          <w:trHeight w:val="499"/>
        </w:trPr>
        <w:tc>
          <w:tcPr>
            <w:tcW w:w="4046" w:type="dxa"/>
            <w:gridSpan w:val="2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2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6100,9</w:t>
            </w:r>
          </w:p>
        </w:tc>
        <w:tc>
          <w:tcPr>
            <w:tcW w:w="1843" w:type="dxa"/>
            <w:gridSpan w:val="2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6100,9</w:t>
            </w:r>
          </w:p>
        </w:tc>
        <w:tc>
          <w:tcPr>
            <w:tcW w:w="1276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9" w:type="dxa"/>
            <w:vAlign w:val="center"/>
          </w:tcPr>
          <w:p w:rsidR="003836CE" w:rsidRPr="003836CE" w:rsidRDefault="003836CE" w:rsidP="00350148">
            <w:pPr>
              <w:tabs>
                <w:tab w:val="left" w:pos="8789"/>
              </w:tabs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</w:tbl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36CE" w:rsidRPr="003836CE" w:rsidRDefault="003836CE" w:rsidP="003836CE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1.7. В 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  <w:lang w:val="en-US"/>
        </w:rPr>
        <w:t>III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«Система программных мероприятий», в п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одразделе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Обоснование потребностей в необходимых ресурсах и ресурсное обеспечение Программы» последний абзац изложить в следующей редакции: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 xml:space="preserve">«Расчет размера социальной выплаты производится согласно </w:t>
      </w:r>
      <w:r w:rsidRPr="003836CE">
        <w:rPr>
          <w:rFonts w:ascii="Times New Roman" w:hAnsi="Times New Roman" w:cs="Times New Roman"/>
          <w:sz w:val="24"/>
          <w:szCs w:val="24"/>
        </w:rPr>
        <w:lastRenderedPageBreak/>
        <w:t>постановлению Правительства Российской  Федерации от 17 декабря 2010 года № 1050 «О федеральной целевой программе «Жилище» на 2011-2015 годы в рамках реализации подпрограммы «Обеспечение жильем молодых семей» Федеральной целевой программы «Жилище» на 2011 – 2015 годы», постановлением Администрации Ростовской  области  от 16.05.2011 № 274 «О порядке реализации подпрограммы «Обеспечение жильем молодых семей» федеральной целевой программы «Жилище» на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2011 – 2015 годы на территории Ростовской области», постановлением Администрации  Ростовской области от 13.11.2009 г. № 600 «Об утверждении  Областной долгосрочной  целевой программы «Обеспечение  жильем отдельных категорий  граждан и  стимулирование  развития жилищного строительства на 2010-2013 годы» с учетом внесенных изменений постановлением Администрации Ростовской области от 12 июня 2011 года № 257 «О внесении изменений в постановление  Администрации  Ростовской области от 13.11.2009 г. № 600».</w:t>
      </w:r>
      <w:proofErr w:type="gramEnd"/>
    </w:p>
    <w:p w:rsidR="003836CE" w:rsidRPr="003836CE" w:rsidRDefault="003836CE" w:rsidP="003836CE">
      <w:pPr>
        <w:pStyle w:val="contentheader2cols"/>
        <w:ind w:left="0" w:firstLine="360"/>
        <w:jc w:val="both"/>
        <w:rPr>
          <w:b w:val="0"/>
          <w:color w:val="333333"/>
          <w:sz w:val="24"/>
          <w:szCs w:val="24"/>
        </w:rPr>
      </w:pPr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1.8. </w:t>
      </w:r>
      <w:proofErr w:type="gramStart"/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В разделе </w:t>
      </w:r>
      <w:r w:rsidRPr="003836CE">
        <w:rPr>
          <w:rFonts w:ascii="Times New Roman" w:hAnsi="Times New Roman" w:cs="Times New Roman"/>
          <w:color w:val="0D0D0D"/>
          <w:sz w:val="24"/>
          <w:szCs w:val="24"/>
          <w:lang w:val="en-US"/>
        </w:rPr>
        <w:t>III</w:t>
      </w:r>
      <w:r w:rsidRPr="003836CE">
        <w:rPr>
          <w:rFonts w:ascii="Times New Roman" w:hAnsi="Times New Roman" w:cs="Times New Roman"/>
          <w:color w:val="0D0D0D"/>
          <w:sz w:val="24"/>
          <w:szCs w:val="24"/>
        </w:rPr>
        <w:t xml:space="preserve"> «Система программных мероприятий», в п</w:t>
      </w:r>
      <w:r w:rsidRPr="003836CE">
        <w:rPr>
          <w:rFonts w:ascii="Times New Roman" w:hAnsi="Times New Roman" w:cs="Times New Roman"/>
          <w:sz w:val="24"/>
          <w:szCs w:val="24"/>
        </w:rPr>
        <w:t xml:space="preserve">одпрограмме «Обеспечение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 в городе Батайске на 2011-2013 годы» таблицу «Объёмы финансирования Подпрограммы по источникам и годам» изложить в следующей редакции: </w:t>
      </w:r>
      <w:proofErr w:type="gramEnd"/>
    </w:p>
    <w:p w:rsidR="003836CE" w:rsidRPr="003836CE" w:rsidRDefault="003836CE" w:rsidP="003836CE">
      <w:pPr>
        <w:autoSpaceDE w:val="0"/>
        <w:autoSpaceDN w:val="0"/>
        <w:adjustRightInd w:val="0"/>
        <w:ind w:firstLine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0"/>
        <w:gridCol w:w="10"/>
        <w:gridCol w:w="1916"/>
        <w:gridCol w:w="2253"/>
        <w:gridCol w:w="2552"/>
      </w:tblGrid>
      <w:tr w:rsidR="003836CE" w:rsidRPr="003836CE" w:rsidTr="00350148">
        <w:trPr>
          <w:trHeight w:val="3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CE" w:rsidRPr="003836CE" w:rsidRDefault="003836CE" w:rsidP="00350148">
            <w:pPr>
              <w:ind w:right="-108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3836CE" w:rsidRPr="003836CE" w:rsidTr="00350148">
        <w:trPr>
          <w:trHeight w:val="273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CE" w:rsidRPr="003836CE" w:rsidRDefault="003836CE" w:rsidP="00350148">
            <w:pPr>
              <w:ind w:right="806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CE" w:rsidRPr="003836CE" w:rsidRDefault="003836CE" w:rsidP="00350148">
            <w:pPr>
              <w:ind w:right="806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</w:tr>
      <w:tr w:rsidR="003836CE" w:rsidRPr="003836CE" w:rsidTr="00350148">
        <w:trPr>
          <w:trHeight w:val="68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( прогноз)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1 095,6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14 071,2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14 071,2</w:t>
            </w:r>
          </w:p>
        </w:tc>
      </w:tr>
      <w:tr w:rsidR="003836CE" w:rsidRPr="003836CE" w:rsidTr="00350148">
        <w:trPr>
          <w:trHeight w:val="287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1 095,6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CE" w:rsidRPr="003836CE" w:rsidRDefault="003836CE" w:rsidP="00350148">
            <w:pPr>
              <w:ind w:right="-117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14 071,2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CE" w:rsidRPr="003836CE" w:rsidRDefault="003836CE" w:rsidP="00350148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</w:rPr>
              <w:t>14 071,2</w:t>
            </w:r>
          </w:p>
        </w:tc>
      </w:tr>
    </w:tbl>
    <w:p w:rsidR="003836CE" w:rsidRPr="003836CE" w:rsidRDefault="003836CE" w:rsidP="003836CE">
      <w:pPr>
        <w:ind w:firstLine="360"/>
        <w:rPr>
          <w:rFonts w:ascii="Times New Roman" w:hAnsi="Times New Roman" w:cs="Times New Roman"/>
          <w:color w:val="0D0D0D"/>
          <w:sz w:val="24"/>
          <w:szCs w:val="24"/>
        </w:rPr>
      </w:pPr>
    </w:p>
    <w:p w:rsidR="003836CE" w:rsidRPr="003836CE" w:rsidRDefault="003836CE" w:rsidP="003836CE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>Заместителю главы  Администрации города Батайска  по бюджету и финансам – начальнику Финансового управления города Батайска (Левиной И.В.) обеспечить   своевременное  выделение  средств, предусмотренных  на эти цели  в городском бюджете.</w:t>
      </w:r>
    </w:p>
    <w:p w:rsidR="003836CE" w:rsidRPr="003836CE" w:rsidRDefault="003836CE" w:rsidP="003836CE">
      <w:pPr>
        <w:pStyle w:val="a3"/>
        <w:ind w:left="0" w:firstLine="360"/>
        <w:rPr>
          <w:sz w:val="24"/>
          <w:szCs w:val="24"/>
        </w:rPr>
      </w:pPr>
    </w:p>
    <w:p w:rsidR="003836CE" w:rsidRPr="003836CE" w:rsidRDefault="003836CE" w:rsidP="003836CE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836CE"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постановления возложить на и </w:t>
      </w:r>
      <w:proofErr w:type="gramStart"/>
      <w:r w:rsidRPr="003836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36CE">
        <w:rPr>
          <w:rFonts w:ascii="Times New Roman" w:hAnsi="Times New Roman" w:cs="Times New Roman"/>
          <w:sz w:val="24"/>
          <w:szCs w:val="24"/>
        </w:rPr>
        <w:t>.о.заместителя главы Администрации города Батайска по социальным вопросам Кузьменко Н.В.</w:t>
      </w:r>
      <w:r w:rsidRPr="003836CE">
        <w:rPr>
          <w:rFonts w:ascii="Times New Roman" w:hAnsi="Times New Roman" w:cs="Times New Roman"/>
        </w:rPr>
        <w:t xml:space="preserve">, </w:t>
      </w:r>
      <w:r w:rsidRPr="003836CE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Батайска по ЖКХ Владиславского В.Б.</w:t>
      </w:r>
    </w:p>
    <w:p w:rsidR="003836CE" w:rsidRPr="003836CE" w:rsidRDefault="003836CE" w:rsidP="003836CE">
      <w:pPr>
        <w:pStyle w:val="1"/>
        <w:tabs>
          <w:tab w:val="left" w:pos="2410"/>
        </w:tabs>
      </w:pPr>
    </w:p>
    <w:p w:rsidR="003836CE" w:rsidRPr="003836CE" w:rsidRDefault="003836CE" w:rsidP="003836CE">
      <w:pPr>
        <w:pStyle w:val="1"/>
        <w:tabs>
          <w:tab w:val="left" w:pos="2410"/>
        </w:tabs>
      </w:pPr>
    </w:p>
    <w:p w:rsidR="003836CE" w:rsidRPr="003836CE" w:rsidRDefault="003836CE" w:rsidP="003836CE">
      <w:pPr>
        <w:pStyle w:val="1"/>
        <w:tabs>
          <w:tab w:val="left" w:pos="2410"/>
        </w:tabs>
      </w:pPr>
    </w:p>
    <w:p w:rsidR="003836CE" w:rsidRPr="003836CE" w:rsidRDefault="003836CE" w:rsidP="003836CE">
      <w:pPr>
        <w:pStyle w:val="1"/>
        <w:tabs>
          <w:tab w:val="left" w:pos="2410"/>
        </w:tabs>
      </w:pPr>
    </w:p>
    <w:p w:rsidR="003836CE" w:rsidRPr="003836CE" w:rsidRDefault="003836CE" w:rsidP="003836CE">
      <w:pPr>
        <w:pStyle w:val="1"/>
        <w:tabs>
          <w:tab w:val="left" w:pos="2410"/>
        </w:tabs>
      </w:pPr>
    </w:p>
    <w:p w:rsidR="003836CE" w:rsidRPr="003836CE" w:rsidRDefault="003836CE" w:rsidP="003836CE">
      <w:pPr>
        <w:pStyle w:val="1"/>
        <w:tabs>
          <w:tab w:val="left" w:pos="2410"/>
        </w:tabs>
      </w:pPr>
    </w:p>
    <w:p w:rsidR="003836CE" w:rsidRPr="003836CE" w:rsidRDefault="003836CE" w:rsidP="003836CE">
      <w:pPr>
        <w:pStyle w:val="1"/>
        <w:tabs>
          <w:tab w:val="left" w:pos="2410"/>
        </w:tabs>
      </w:pPr>
      <w:r w:rsidRPr="003836CE">
        <w:t>Мэр города Батайска</w:t>
      </w:r>
      <w:r w:rsidRPr="003836CE">
        <w:tab/>
      </w:r>
      <w:r w:rsidRPr="003836CE">
        <w:tab/>
      </w:r>
      <w:r w:rsidRPr="003836CE">
        <w:tab/>
      </w:r>
      <w:r w:rsidRPr="003836CE">
        <w:tab/>
      </w:r>
      <w:r w:rsidRPr="003836CE">
        <w:tab/>
      </w:r>
      <w:r w:rsidRPr="003836CE">
        <w:tab/>
      </w:r>
      <w:r w:rsidRPr="003836CE">
        <w:tab/>
        <w:t xml:space="preserve">               </w:t>
      </w:r>
      <w:r w:rsidRPr="003836CE">
        <w:tab/>
        <w:t>В.В. Путилин</w:t>
      </w:r>
    </w:p>
    <w:p w:rsidR="00412115" w:rsidRPr="003836CE" w:rsidRDefault="00412115">
      <w:pPr>
        <w:rPr>
          <w:rFonts w:ascii="Times New Roman" w:hAnsi="Times New Roman" w:cs="Times New Roman"/>
        </w:rPr>
      </w:pPr>
    </w:p>
    <w:sectPr w:rsidR="00412115" w:rsidRPr="003836CE" w:rsidSect="006D39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47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6CE"/>
    <w:rsid w:val="003641D9"/>
    <w:rsid w:val="003836CE"/>
    <w:rsid w:val="00412115"/>
    <w:rsid w:val="004A6509"/>
    <w:rsid w:val="006D3972"/>
    <w:rsid w:val="008E7D6A"/>
    <w:rsid w:val="00B95DC9"/>
    <w:rsid w:val="00E4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9"/>
  </w:style>
  <w:style w:type="paragraph" w:styleId="1">
    <w:name w:val="heading 1"/>
    <w:basedOn w:val="a"/>
    <w:next w:val="a"/>
    <w:link w:val="10"/>
    <w:qFormat/>
    <w:rsid w:val="003836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6CE"/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header2cols">
    <w:name w:val="contentheader2cols"/>
    <w:basedOn w:val="a"/>
    <w:rsid w:val="003836CE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ConsPlusNormal">
    <w:name w:val="ConsPlusNormal"/>
    <w:rsid w:val="00383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836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11842</Characters>
  <Application>Microsoft Office Word</Application>
  <DocSecurity>0</DocSecurity>
  <Lines>98</Lines>
  <Paragraphs>27</Paragraphs>
  <ScaleCrop>false</ScaleCrop>
  <Company>Администрация г.Батайска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Black_Raven</dc:creator>
  <cp:keywords/>
  <dc:description/>
  <cp:lastModifiedBy>TNT</cp:lastModifiedBy>
  <cp:revision>5</cp:revision>
  <dcterms:created xsi:type="dcterms:W3CDTF">2011-07-12T11:17:00Z</dcterms:created>
  <dcterms:modified xsi:type="dcterms:W3CDTF">2011-12-22T14:07:00Z</dcterms:modified>
</cp:coreProperties>
</file>